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0" w:after="150" w:afterAutospacing="0"/>
        <w:ind w:left="0" w:right="0" w:firstLine="708" w:firstLineChars="0"/>
        <w:jc w:val="both"/>
        <w:rPr>
          <w:rFonts w:hint="default" w:ascii="Times New Roman" w:hAnsi="Times New Roman" w:eastAsia="Helvetica" w:cs="Times New Roman"/>
          <w:b/>
          <w:bCs/>
          <w:i w:val="0"/>
          <w:iCs w:val="0"/>
          <w:caps w:val="0"/>
          <w:color w:val="333333"/>
          <w:spacing w:val="0"/>
          <w:sz w:val="32"/>
          <w:szCs w:val="32"/>
        </w:rPr>
      </w:pPr>
      <w:r>
        <w:rPr>
          <w:rFonts w:hint="default" w:ascii="Times New Roman" w:hAnsi="Times New Roman" w:eastAsia="Tahoma" w:cs="Times New Roman"/>
          <w:b/>
          <w:bCs/>
          <w:i w:val="0"/>
          <w:iCs w:val="0"/>
          <w:caps w:val="0"/>
          <w:color w:val="000000"/>
          <w:spacing w:val="0"/>
          <w:sz w:val="32"/>
          <w:szCs w:val="32"/>
          <w:shd w:val="clear" w:fill="F0F0F0"/>
        </w:rPr>
        <w:t>Медиалық және медиалық емес коммуникациялар</w:t>
      </w:r>
    </w:p>
    <w:p>
      <w:pPr>
        <w:pStyle w:val="7"/>
        <w:keepNext w:val="0"/>
        <w:keepLines w:val="0"/>
        <w:widowControl/>
        <w:suppressLineNumbers w:val="0"/>
        <w:spacing w:before="0" w:beforeAutospacing="0" w:after="150" w:afterAutospacing="0"/>
        <w:ind w:left="0" w:right="0" w:firstLine="708" w:firstLineChars="0"/>
        <w:jc w:val="both"/>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Helvetica" w:cs="Times New Roman"/>
          <w:b/>
          <w:bCs/>
          <w:i w:val="0"/>
          <w:iCs w:val="0"/>
          <w:caps w:val="0"/>
          <w:color w:val="000000" w:themeColor="text1"/>
          <w:spacing w:val="0"/>
          <w:sz w:val="28"/>
          <w:szCs w:val="28"/>
          <w14:textFill>
            <w14:solidFill>
              <w14:schemeClr w14:val="tx1"/>
            </w14:solidFill>
          </w14:textFill>
        </w:rPr>
        <w:t>Медиа</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 xml:space="preserve"> – ағылшынша </w:t>
      </w:r>
      <w:r>
        <w:rPr>
          <w:rFonts w:hint="default" w:eastAsia="Helvetica" w:cs="Times New Roman"/>
          <w:i w:val="0"/>
          <w:iCs w:val="0"/>
          <w:caps w:val="0"/>
          <w:color w:val="000000" w:themeColor="text1"/>
          <w:spacing w:val="0"/>
          <w:sz w:val="28"/>
          <w:szCs w:val="28"/>
          <w:lang w:val="kk-KZ"/>
          <w14:textFill>
            <w14:solidFill>
              <w14:schemeClr w14:val="tx1"/>
            </w14:solidFill>
          </w14:textFill>
        </w:rPr>
        <w:t>“</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me</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softHyphen/>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dium</w:t>
      </w:r>
      <w:r>
        <w:rPr>
          <w:rFonts w:hint="default" w:eastAsia="Helvetica" w:cs="Times New Roman"/>
          <w:i w:val="0"/>
          <w:iCs w:val="0"/>
          <w:caps w:val="0"/>
          <w:color w:val="000000" w:themeColor="text1"/>
          <w:spacing w:val="0"/>
          <w:sz w:val="28"/>
          <w:szCs w:val="28"/>
          <w:lang w:val="kk-KZ"/>
          <w14:textFill>
            <w14:solidFill>
              <w14:schemeClr w14:val="tx1"/>
            </w14:solidFill>
          </w14:textFill>
        </w:rPr>
        <w:t>”</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 xml:space="preserve"> сөзінің көпше түрі, ақпарат жеткі</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softHyphen/>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зетін кез келген коммуникация құра</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softHyphen/>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лын осылай атауға болады.</w:t>
      </w:r>
    </w:p>
    <w:p>
      <w:pPr>
        <w:pStyle w:val="7"/>
        <w:keepNext w:val="0"/>
        <w:keepLines w:val="0"/>
        <w:widowControl/>
        <w:suppressLineNumbers w:val="0"/>
        <w:spacing w:before="0" w:beforeAutospacing="0" w:after="150" w:afterAutospacing="0"/>
        <w:ind w:left="0" w:right="0" w:firstLine="708" w:firstLineChars="0"/>
        <w:jc w:val="both"/>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Медиа</w:t>
      </w:r>
      <w:r>
        <w:rPr>
          <w:rFonts w:hint="default" w:ascii="Times New Roman" w:hAnsi="Times New Roman" w:eastAsia="Helvetica" w:cs="Times New Roman"/>
          <w:i w:val="0"/>
          <w:iCs w:val="0"/>
          <w:caps w:val="0"/>
          <w:color w:val="000000" w:themeColor="text1"/>
          <w:spacing w:val="0"/>
          <w:sz w:val="28"/>
          <w:szCs w:val="28"/>
          <w:lang w:val="kk-KZ"/>
          <w14:textFill>
            <w14:solidFill>
              <w14:schemeClr w14:val="tx1"/>
            </w14:solidFill>
          </w14:textFill>
        </w:rPr>
        <w:t xml:space="preserve"> </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w:t>
      </w:r>
      <w:r>
        <w:rPr>
          <w:rFonts w:hint="default" w:ascii="Times New Roman" w:hAnsi="Times New Roman" w:eastAsia="Helvetica" w:cs="Times New Roman"/>
          <w:i w:val="0"/>
          <w:iCs w:val="0"/>
          <w:caps w:val="0"/>
          <w:color w:val="000000" w:themeColor="text1"/>
          <w:spacing w:val="0"/>
          <w:sz w:val="28"/>
          <w:szCs w:val="28"/>
          <w:lang w:val="kk-KZ"/>
          <w14:textFill>
            <w14:solidFill>
              <w14:schemeClr w14:val="tx1"/>
            </w14:solidFill>
          </w14:textFill>
        </w:rPr>
        <w:t xml:space="preserve"> </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бұл ақпаратты тарату және бөлісу үшін қолданылатын байланыс құралдары мен ақпаратты сипаттау үшін қолданылатын жалпы термин. Бұған газеттер, журналдар, радио және теледидар сияқты дәстүрлі құралдар, сондай-ақ Интернет, әлеуметтік медиа, блогтар, подкасттар және бейне платформалар сияқты заманауи құралдар кіреді. Бұқаралық ақпарат құралдары жаңалықтарды жеткізуде, ойын-сауықта, білім беруде және қоғамның хабардарлығын арттыруда маңызды рөл атқарады.</w:t>
      </w:r>
      <w:bookmarkStart w:id="0" w:name="_GoBack"/>
      <w:bookmarkEnd w:id="0"/>
    </w:p>
    <w:p>
      <w:pPr>
        <w:pStyle w:val="7"/>
        <w:keepNext w:val="0"/>
        <w:keepLines w:val="0"/>
        <w:widowControl/>
        <w:suppressLineNumbers w:val="0"/>
        <w:spacing w:before="0" w:beforeAutospacing="0" w:after="150" w:afterAutospacing="0"/>
        <w:ind w:left="0" w:right="0" w:firstLine="708" w:firstLineChars="0"/>
        <w:jc w:val="both"/>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Біз жоғарыда айтқан ақпарат құрал</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softHyphen/>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дары арқылы адам күніне қанша ақпарат алатынын білу үшін, 2020 жылы орташа есеппен күн сайын қанша дерек пайда болғанын қарап көрейік. Бұл сан күніне 2,5 квинтиллион байтты құраған. Квинтиллион деген сан мөлшерін бірінші рет көріп тұрсаңыз, жалғыз емессіз. Салыстырып көру үшін 18 нөлі бар еке</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softHyphen/>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нін айта кетейік. Әрине, осы секілді адам күніне, секундына қанша ақпарат өңдейтінін көрсететін толып жатқан өзге де статистиканы келтіре беруге болады.</w:t>
      </w:r>
    </w:p>
    <w:p>
      <w:pPr>
        <w:pStyle w:val="7"/>
        <w:keepNext w:val="0"/>
        <w:keepLines w:val="0"/>
        <w:widowControl/>
        <w:suppressLineNumbers w:val="0"/>
        <w:spacing w:before="0" w:beforeAutospacing="0" w:after="150" w:afterAutospacing="0"/>
        <w:ind w:left="0" w:right="0" w:firstLine="708" w:firstLineChars="0"/>
        <w:jc w:val="both"/>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Десе де, үй мен жұмыстың арасы</w:t>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softHyphen/>
      </w:r>
      <w:r>
        <w:rPr>
          <w:rFonts w:hint="default" w:ascii="Times New Roman" w:hAnsi="Times New Roman" w:eastAsia="Helvetica" w:cs="Times New Roman"/>
          <w:i w:val="0"/>
          <w:iCs w:val="0"/>
          <w:caps w:val="0"/>
          <w:color w:val="000000" w:themeColor="text1"/>
          <w:spacing w:val="0"/>
          <w:sz w:val="28"/>
          <w:szCs w:val="28"/>
          <w14:textFill>
            <w14:solidFill>
              <w14:schemeClr w14:val="tx1"/>
            </w14:solidFill>
          </w14:textFill>
        </w:rPr>
        <w:t>ның өзінде қанша нәрсе көріп, қанша ақпарат оқитыныңызды өзіңіз де біліп отырсыз. Ол мәліметтің барлығына зер салып қарау міндетті емес, миыңыз өзі қабылдап өңдей береді, ал жадыңыз сақтай береді. Бұл ақпараттарға ортақ бір нәрсе бар, ол – авторының болуы.</w:t>
      </w:r>
    </w:p>
    <w:p>
      <w:pPr>
        <w:keepNext w:val="0"/>
        <w:keepLines w:val="0"/>
        <w:widowControl/>
        <w:suppressLineNumbers w:val="0"/>
        <w:shd w:val="clear" w:fill="FFFFFF"/>
        <w:spacing w:before="0" w:beforeAutospacing="0" w:after="0" w:afterAutospacing="0"/>
        <w:ind w:left="0" w:right="0" w:firstLine="708" w:firstLineChars="0"/>
        <w:jc w:val="left"/>
        <w:rPr>
          <w:rFonts w:hint="default" w:ascii="Times New Roman" w:hAnsi="Times New Roman" w:eastAsia="Segoe UI Historic"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Медиа сөзі - ұғымдар кешенін білдіреді, мысалы: теледидар, радио, газет және интернет.</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Segoe UI Historic"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Медиа классификациялары:</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Segoe UI Historic"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 Негізгі құралдар</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Segoe UI Historic"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 Қабылдау арнасы</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eastAsia="Segoe UI Historic"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 Пайдалану орны</w:t>
      </w:r>
    </w:p>
    <w:p>
      <w:pPr>
        <w:keepNext w:val="0"/>
        <w:keepLines w:val="0"/>
        <w:widowControl/>
        <w:suppressLineNumbers w:val="0"/>
        <w:shd w:val="clear" w:fill="FFFFFF"/>
        <w:spacing w:before="0" w:beforeAutospacing="0" w:after="0" w:afterAutospacing="0"/>
        <w:ind w:left="0" w:right="0" w:firstLine="0"/>
        <w:jc w:val="left"/>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eastAsia="Segoe UI Historic"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 Ақпарат мазмұны</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ind w:firstLine="708"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bCs/>
          <w:color w:val="000000" w:themeColor="text1"/>
          <w:sz w:val="28"/>
          <w:szCs w:val="28"/>
          <w:lang w:val="kk-KZ"/>
          <w14:textFill>
            <w14:solidFill>
              <w14:schemeClr w14:val="tx1"/>
            </w14:solidFill>
          </w14:textFill>
        </w:rPr>
        <w:t>Медиа коммуникация</w:t>
      </w:r>
      <w:r>
        <w:rPr>
          <w:rFonts w:hint="default" w:ascii="Times New Roman" w:hAnsi="Times New Roman" w:cs="Times New Roman"/>
          <w:b w:val="0"/>
          <w:bCs w:val="0"/>
          <w:color w:val="000000" w:themeColor="text1"/>
          <w:sz w:val="28"/>
          <w:szCs w:val="28"/>
          <w:lang w:val="kk-KZ"/>
          <w14:textFill>
            <w14:solidFill>
              <w14:schemeClr w14:val="tx1"/>
            </w14:solidFill>
          </w14:textFill>
        </w:rPr>
        <w:t xml:space="preserve"> - бұл теледидар, радио, баспа басылымдары, интернет және әлеуметтік медиа сияқты бұқаралық ақпарат құралдары арқылы ақпарат беру және аудиториямен өзара әрекеттесу процесі.</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Медиа коммуникацияларға мыналар кіреді:</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Баспасөз конференциялары мен брифингтер - журналистер ақпаратты ресми өкілдерден өз қолдарымен алатын оқиғаларды ұйымдастыру.</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Мемлекеттік баспасөз қызметтері-Мемлекеттік органдардың акциялары, бастамалары мен шешімдері туралы ақпарат беру.</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Жарнама және PR-тауарларды, қызметтерді және идеяларды ілгерілету үшін бұқаралық ақпарат құралдарын пайдалану.</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Әлеуметтік медиа және интернет-платформалар-әртүрлі онлайн арналар мен қауымдастықтар арқылы аудиториямен байланыс.</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Телевизиялық және радио хабарлары-ақпарат пен ойын-сауық мазмұнын электронды құралдар арқылы беру.</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Медиа емес байланыс-бұл бұқаралық ақпарат құралдарын пайдаланбай адамдар арасындағы өзара әрекеттесу және ақпарат беру процесі.</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ind w:firstLine="708"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bCs/>
          <w:color w:val="000000" w:themeColor="text1"/>
          <w:sz w:val="28"/>
          <w:szCs w:val="28"/>
          <w:u w:val="single"/>
          <w:lang w:val="kk-KZ"/>
          <w14:textFill>
            <w14:solidFill>
              <w14:schemeClr w14:val="tx1"/>
            </w14:solidFill>
          </w14:textFill>
        </w:rPr>
        <w:t>Медиа</w:t>
      </w:r>
      <w:r>
        <w:rPr>
          <w:rFonts w:hint="default" w:ascii="Times New Roman" w:hAnsi="Times New Roman" w:cs="Times New Roman"/>
          <w:b/>
          <w:bCs/>
          <w:color w:val="000000" w:themeColor="text1"/>
          <w:sz w:val="28"/>
          <w:szCs w:val="28"/>
          <w:u w:val="single"/>
          <w:lang w:val="ru-RU"/>
          <w14:textFill>
            <w14:solidFill>
              <w14:schemeClr w14:val="tx1"/>
            </w14:solidFill>
          </w14:textFill>
        </w:rPr>
        <w:t>л</w:t>
      </w:r>
      <w:r>
        <w:rPr>
          <w:rFonts w:hint="default" w:ascii="Times New Roman" w:hAnsi="Times New Roman" w:cs="Times New Roman"/>
          <w:b/>
          <w:bCs/>
          <w:color w:val="000000" w:themeColor="text1"/>
          <w:sz w:val="28"/>
          <w:szCs w:val="28"/>
          <w:u w:val="single"/>
          <w:lang w:val="kk-KZ"/>
          <w14:textFill>
            <w14:solidFill>
              <w14:schemeClr w14:val="tx1"/>
            </w14:solidFill>
          </w14:textFill>
        </w:rPr>
        <w:t>ық емес байланыстар</w:t>
      </w:r>
      <w:r>
        <w:rPr>
          <w:rFonts w:hint="default" w:ascii="Times New Roman" w:hAnsi="Times New Roman" w:cs="Times New Roman"/>
          <w:b w:val="0"/>
          <w:bCs w:val="0"/>
          <w:color w:val="000000" w:themeColor="text1"/>
          <w:sz w:val="28"/>
          <w:szCs w:val="28"/>
          <w:lang w:val="kk-KZ"/>
          <w14:textFill>
            <w14:solidFill>
              <w14:schemeClr w14:val="tx1"/>
            </w14:solidFill>
          </w14:textFill>
        </w:rPr>
        <w:t xml:space="preserve"> мыналарды қамтиды:</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Бетпе - бет сөйлесу, соның ішінде жұмыс ортасында немесе күнделікті өмірде.</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Телефон қоңыраулары мен бейнеконференциялар-телефон немесе бейнекоммуникация жүйелері арқылы ақпарат беру және байланыс.</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Хаттар мен электрондық пошта-хаттар мен электрондық хабарламалар арқылы жазбаша байланыс.</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Іскерлік кездесулер мен презентациялар - ақпарат алмасу және шешім қабылдау үшін жұмыс ортасындағы кездесулер.</w:t>
      </w:r>
    </w:p>
    <w:p>
      <w:pPr>
        <w:rPr>
          <w:rFonts w:hint="default" w:ascii="Times New Roman" w:hAnsi="Times New Roman" w:cs="Times New Roman"/>
          <w:b w:val="0"/>
          <w:bCs w:val="0"/>
          <w:color w:val="000000" w:themeColor="text1"/>
          <w:sz w:val="28"/>
          <w:szCs w:val="28"/>
          <w:lang w:val="kk-KZ"/>
          <w14:textFill>
            <w14:solidFill>
              <w14:schemeClr w14:val="tx1"/>
            </w14:solidFill>
          </w14:textFill>
        </w:rPr>
      </w:pPr>
    </w:p>
    <w:p>
      <w:pPr>
        <w:numPr>
          <w:ilvl w:val="0"/>
          <w:numId w:val="1"/>
        </w:numPr>
        <w:ind w:left="425" w:leftChars="0" w:hanging="425" w:firstLineChars="0"/>
        <w:rPr>
          <w:rFonts w:hint="default" w:ascii="Times New Roman" w:hAnsi="Times New Roman" w:cs="Times New Roman"/>
          <w:b w:val="0"/>
          <w:bCs w:val="0"/>
          <w:color w:val="000000" w:themeColor="text1"/>
          <w:sz w:val="28"/>
          <w:szCs w:val="28"/>
          <w:lang w:val="kk-KZ"/>
          <w14:textFill>
            <w14:solidFill>
              <w14:schemeClr w14:val="tx1"/>
            </w14:solidFill>
          </w14:textFill>
        </w:rPr>
      </w:pPr>
      <w:r>
        <w:rPr>
          <w:rFonts w:hint="default" w:ascii="Times New Roman" w:hAnsi="Times New Roman" w:cs="Times New Roman"/>
          <w:b w:val="0"/>
          <w:bCs w:val="0"/>
          <w:color w:val="000000" w:themeColor="text1"/>
          <w:sz w:val="28"/>
          <w:szCs w:val="28"/>
          <w:lang w:val="kk-KZ"/>
          <w14:textFill>
            <w14:solidFill>
              <w14:schemeClr w14:val="tx1"/>
            </w14:solidFill>
          </w14:textFill>
        </w:rPr>
        <w:t>Әлеуметтік оқиғалар - кештер, концерттер және іс-шаралар сияқты, онда адамдар өзара әрекеттесе алады және ақпарат алмасады.</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Kunstler Script">
    <w:panose1 w:val="030304020206070D0D06"/>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Sitka Small Semibold">
    <w:panose1 w:val="00000000000000000000"/>
    <w:charset w:val="00"/>
    <w:family w:val="auto"/>
    <w:pitch w:val="default"/>
    <w:sig w:usb0="A00002EF" w:usb1="4000204B" w:usb2="00000000" w:usb3="00000000" w:csb0="2000019F" w:csb1="00000000"/>
  </w:font>
  <w:font w:name="Sitka Subheading Semibold">
    <w:panose1 w:val="00000000000000000000"/>
    <w:charset w:val="00"/>
    <w:family w:val="auto"/>
    <w:pitch w:val="default"/>
    <w:sig w:usb0="A00002EF" w:usb1="4000204B" w:usb2="00000000" w:usb3="00000000" w:csb0="2000019F" w:csb1="00000000"/>
  </w:font>
  <w:font w:name="Sitka Heading">
    <w:panose1 w:val="00000000000000000000"/>
    <w:charset w:val="00"/>
    <w:family w:val="auto"/>
    <w:pitch w:val="default"/>
    <w:sig w:usb0="A00002EF" w:usb1="4000204B" w:usb2="00000000" w:usb3="00000000" w:csb0="2000019F" w:csb1="00000000"/>
  </w:font>
  <w:font w:name="Trebuchet MS">
    <w:panose1 w:val="020B0603020202020204"/>
    <w:charset w:val="00"/>
    <w:family w:val="auto"/>
    <w:pitch w:val="default"/>
    <w:sig w:usb0="00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79825"/>
    <w:multiLevelType w:val="singleLevel"/>
    <w:tmpl w:val="9BE79825"/>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E5B74"/>
    <w:rsid w:val="2D6C2CE8"/>
    <w:rsid w:val="38FE7E8D"/>
    <w:rsid w:val="44D74B2F"/>
    <w:rsid w:val="507A4AAC"/>
    <w:rsid w:val="6957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Calibri" w:hAnsi="Calibri" w:eastAsia="SimSun" w:cs="Times New Roman"/>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Strong"/>
    <w:basedOn w:val="3"/>
    <w:qFormat/>
    <w:uiPriority w:val="0"/>
    <w:rPr>
      <w:b/>
      <w:bCs/>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154</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2023-10-18T14:01:00Z</dcterms:created>
  <dc:creator>ASUS</dc:creator>
  <cp:lastModifiedBy>Данияр Каримов</cp:lastModifiedBy>
  <dcterms:modified xsi:type="dcterms:W3CDTF">2023-12-07T11:41:06Z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9FF21428CBCB4C15BA6DDA9985AC89BF_13</vt:lpwstr>
  </property>
</Properties>
</file>